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1</w:t>
      </w:r>
    </w:p>
    <w:p w:rsidR="0085478B" w:rsidRPr="0085478B" w:rsidRDefault="0085478B" w:rsidP="0085478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The production process combines and transforms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A: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0" type="#_x0000_t75" style="width:1in;height:18pt" o:ole="">
            <v:imagedata r:id="rId6" o:title=""/>
          </v:shape>
          <w:control r:id="rId7" w:name="DefaultOcxName" w:shapeid="_x0000_i1090"/>
        </w:object>
      </w:r>
      <w:r w:rsidRPr="0085478B">
        <w:rPr>
          <w:rFonts w:ascii="inherit" w:eastAsia="Times New Roman" w:hAnsi="inherit" w:cs="Times New Roman"/>
          <w:color w:val="FF0000"/>
          <w:sz w:val="20"/>
          <w:szCs w:val="20"/>
          <w:bdr w:val="none" w:sz="0" w:space="0" w:color="auto" w:frame="1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into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B</w:t>
      </w:r>
      <w:proofErr w:type="gramStart"/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 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object w:dxaOrig="225" w:dyaOrig="225">
          <v:shape id="_x0000_i1093" type="#_x0000_t75" style="width:1in;height:18pt" o:ole="">
            <v:imagedata r:id="rId8" o:title=""/>
          </v:shape>
          <w:control r:id="rId9" w:name="DefaultOcxName1" w:shapeid="_x0000_i1093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. In economics terms, the resources that are utilized by a firm are defined as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C: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096" type="#_x0000_t75" style="width:1in;height:18pt" o:ole="">
            <v:imagedata r:id="rId10" o:title=""/>
          </v:shape>
          <w:control r:id="rId11" w:name="DefaultOcxName2" w:shapeid="_x0000_i1096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– that is, natural resources or other real property resources (e.g. petroleum, wood, farms, etc.),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D: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099" type="#_x0000_t75" style="width:1in;height:18pt" o:ole="">
            <v:imagedata r:id="rId12" o:title=""/>
          </v:shape>
          <w:control r:id="rId13" w:name="DefaultOcxName3" w:shapeid="_x0000_i1099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– that is, human effort (e.g. anywhere from economics professors to people who actually produce something), and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E: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02" type="#_x0000_t75" style="width:1in;height:18pt" o:ole="">
            <v:imagedata r:id="rId14" o:title=""/>
          </v:shape>
          <w:control r:id="rId15" w:name="DefaultOcxName4" w:shapeid="_x0000_i1102"/>
        </w:object>
      </w:r>
      <w:r w:rsidRPr="0085478B">
        <w:rPr>
          <w:rFonts w:ascii="inherit" w:eastAsia="Times New Roman" w:hAnsi="inherit" w:cs="Times New Roman"/>
          <w:color w:val="FF0000"/>
          <w:sz w:val="20"/>
          <w:szCs w:val="20"/>
          <w:bdr w:val="none" w:sz="0" w:space="0" w:color="auto" w:frame="1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– that is, goods that produce goods (tools, equipment, machinery, buildings, etc.).  Another important, but intangible resource is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F</w:t>
      </w:r>
      <w:proofErr w:type="gramStart"/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05" type="#_x0000_t75" style="width:1in;height:18pt" o:ole="">
            <v:imagedata r:id="rId16" o:title=""/>
          </v:shape>
          <w:control r:id="rId17" w:name="DefaultOcxName5" w:shapeid="_x0000_i1105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. This word </w:t>
      </w:r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is derived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from the French term for risk taker. This </w:t>
      </w:r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is the person who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envisions an unfulfilled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G: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08" type="#_x0000_t75" style="width:1in;height:18pt" o:ole="">
            <v:imagedata r:id="rId18" o:title=""/>
          </v:shape>
          <w:control r:id="rId19" w:name="DefaultOcxName6" w:shapeid="_x0000_i1108"/>
        </w:object>
      </w:r>
      <w:r w:rsidRPr="0085478B">
        <w:rPr>
          <w:rFonts w:ascii="inherit" w:eastAsia="Times New Roman" w:hAnsi="inherit" w:cs="Times New Roman"/>
          <w:color w:val="FF0000"/>
          <w:sz w:val="20"/>
          <w:szCs w:val="20"/>
          <w:bdr w:val="none" w:sz="0" w:space="0" w:color="auto" w:frame="1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for a good or service, and then organizes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H: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object w:dxaOrig="225" w:dyaOrig="225">
          <v:shape id="_x0000_i1111" type="#_x0000_t75" style="width:1in;height:18pt" o:ole="">
            <v:imagedata r:id="rId20" o:title=""/>
          </v:shape>
          <w:control r:id="rId21" w:name="DefaultOcxName7" w:shapeid="_x0000_i1111"/>
        </w:object>
      </w:r>
      <w:r w:rsidRPr="0085478B">
        <w:rPr>
          <w:rFonts w:ascii="inherit" w:eastAsia="Times New Roman" w:hAnsi="inherit" w:cs="Times New Roman"/>
          <w:color w:val="FF0000"/>
          <w:sz w:val="20"/>
          <w:szCs w:val="20"/>
          <w:bdr w:val="none" w:sz="0" w:space="0" w:color="auto" w:frame="1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to fulfill it.</w:t>
      </w:r>
    </w:p>
    <w:p w:rsidR="0085478B" w:rsidRPr="0085478B" w:rsidRDefault="0085478B" w:rsidP="0085478B">
      <w:pPr>
        <w:shd w:val="clear" w:color="auto" w:fill="FFFFFF"/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24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2</w:t>
      </w:r>
    </w:p>
    <w:p w:rsidR="0085478B" w:rsidRPr="0085478B" w:rsidRDefault="0085478B" w:rsidP="008547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An organization consisting of a group of resource owners that come together to produce a good or service is known as a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A</w:t>
      </w:r>
      <w:proofErr w:type="gramStart"/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14" type="#_x0000_t75" style="width:1in;height:18pt" o:ole="">
            <v:imagedata r:id="rId22" o:title=""/>
          </v:shape>
          <w:control r:id="rId23" w:name="DefaultOcxName8" w:shapeid="_x0000_i1114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. The goal of this entity is to earn a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B: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17" type="#_x0000_t75" style="width:1in;height:18pt" o:ole="">
            <v:imagedata r:id="rId24" o:title=""/>
          </v:shape>
          <w:control r:id="rId25" w:name="DefaultOcxName9" w:shapeid="_x0000_i1117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– computed as total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C: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20" type="#_x0000_t75" style="width:1in;height:18pt" o:ole="">
            <v:imagedata r:id="rId26" o:title=""/>
          </v:shape>
          <w:control r:id="rId27" w:name="DefaultOcxName10" w:shapeid="_x0000_i1120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minus total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D</w:t>
      </w:r>
      <w:proofErr w:type="gramStart"/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23" type="#_x0000_t75" style="width:1in;height:18pt" o:ole="">
            <v:imagedata r:id="rId28" o:title=""/>
          </v:shape>
          <w:control r:id="rId29" w:name="DefaultOcxName11" w:shapeid="_x0000_i1123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.</w:t>
      </w:r>
    </w:p>
    <w:p w:rsidR="0085478B" w:rsidRPr="0085478B" w:rsidRDefault="0085478B" w:rsidP="0085478B">
      <w:pPr>
        <w:shd w:val="clear" w:color="auto" w:fill="FFFFFF"/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12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3</w:t>
      </w:r>
    </w:p>
    <w:p w:rsidR="0085478B" w:rsidRPr="0085478B" w:rsidRDefault="0085478B" w:rsidP="0085478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inherit" w:eastAsia="Times New Roman" w:hAnsi="inherit" w:cs="Times New Roman"/>
          <w:b/>
          <w:bCs/>
          <w:i/>
          <w:iCs/>
          <w:color w:val="888888"/>
          <w:sz w:val="20"/>
          <w:szCs w:val="20"/>
          <w:bdr w:val="none" w:sz="0" w:space="0" w:color="auto" w:frame="1"/>
        </w:rPr>
        <w:t>For each of the blanks in this section, fill in a dollar amount -- no decimal points, no dollar signs.</w:t>
      </w:r>
    </w:p>
    <w:p w:rsidR="0085478B" w:rsidRPr="0085478B" w:rsidRDefault="0085478B" w:rsidP="0085478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Suppose that </w:t>
      </w:r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I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could sell 100 </w:t>
      </w:r>
      <w:proofErr w:type="spell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zercs</w:t>
      </w:r>
      <w:proofErr w:type="spell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over the next week for $5 each. To produce this many </w:t>
      </w:r>
      <w:proofErr w:type="spell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zercs</w:t>
      </w:r>
      <w:proofErr w:type="spell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, I’d need $100 worth of wood, $50 worth of plastic and $30 worth of other materials. </w:t>
      </w:r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I’d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also need to hire two workers and pay them $75 each, and I’d need to be working at the factory each day, as well. I would need to lease a </w:t>
      </w:r>
      <w:proofErr w:type="spellStart"/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zerc</w:t>
      </w:r>
      <w:proofErr w:type="spell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making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machine from Home Depot that goes for $80 per week. During that week, </w:t>
      </w:r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I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could work for Acme Widget Company for $70, Bill’s Flange Corp. for $90 or Joe’s Ditch Digging Service for $110. If I asked my accountant to compute my profits the week, </w:t>
      </w:r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he’d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tell me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A: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$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26" type="#_x0000_t75" style="width:1in;height:18pt" o:ole="">
            <v:imagedata r:id="rId30" o:title=""/>
          </v:shape>
          <w:control r:id="rId31" w:name="DefaultOcxName12" w:shapeid="_x0000_i1126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. If I asked my economist to compute my profits, </w:t>
      </w:r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he’d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tell me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B: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$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29" type="#_x0000_t75" style="width:1in;height:18pt" o:ole="">
            <v:imagedata r:id="rId32" o:title=""/>
          </v:shape>
          <w:control r:id="rId33" w:name="DefaultOcxName13" w:shapeid="_x0000_i1129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. How much accounting profit would </w:t>
      </w:r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I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 have to make to earn a normal rate of return?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 </w:t>
      </w:r>
      <w:proofErr w:type="gramStart"/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C: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$</w:t>
      </w:r>
      <w:proofErr w:type="gramEnd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32" type="#_x0000_t75" style="width:1in;height:18pt" o:ole="">
            <v:imagedata r:id="rId34" o:title=""/>
          </v:shape>
          <w:control r:id="rId35" w:name="DefaultOcxName14" w:shapeid="_x0000_i1132"/>
        </w:object>
      </w:r>
    </w:p>
    <w:p w:rsidR="005F164C" w:rsidRPr="00296CDB" w:rsidRDefault="005F164C" w:rsidP="0085478B">
      <w:pPr>
        <w:shd w:val="clear" w:color="auto" w:fill="FFFFFF"/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</w:pPr>
      <w:r w:rsidRPr="00296CDB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Accounting profit=total revenue-explicit cost</w:t>
      </w:r>
    </w:p>
    <w:p w:rsidR="0085478B" w:rsidRPr="0085478B" w:rsidRDefault="005F164C" w:rsidP="0085478B">
      <w:pPr>
        <w:shd w:val="clear" w:color="auto" w:fill="FFFFFF"/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296CDB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Economist profit=</w:t>
      </w:r>
      <w:r w:rsidR="00296CDB" w:rsidRPr="00296CDB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total revenue-(explicit cost +implicit cost)</w:t>
      </w:r>
    </w:p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9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4</w:t>
      </w:r>
    </w:p>
    <w:p w:rsidR="0085478B" w:rsidRPr="0085478B" w:rsidRDefault="0085478B" w:rsidP="0085478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 xml:space="preserve">In considering the way that firms respond to changing economic variables, we must consider the time constraint.  Basically, the time constraint can be divided into two categories: </w:t>
      </w:r>
      <w:proofErr w:type="gramStart"/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the 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A</w:t>
      </w:r>
      <w:proofErr w:type="gramEnd"/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35" type="#_x0000_t75" style="width:1in;height:18pt" o:ole="">
            <v:imagedata r:id="rId36" o:title=""/>
          </v:shape>
          <w:control r:id="rId37" w:name="DefaultOcxName15" w:shapeid="_x0000_i1135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run – a period of time that is insufficient to allow the firm to change its size, and the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B: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object w:dxaOrig="225" w:dyaOrig="225">
          <v:shape id="_x0000_i1138" type="#_x0000_t75" style="width:1in;height:18pt" o:ole="">
            <v:imagedata r:id="rId38" o:title=""/>
          </v:shape>
          <w:control r:id="rId39" w:name="DefaultOcxName16" w:shapeid="_x0000_i1138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</w:rPr>
        <w:t> run – in which the firm size is variable. While there is no specific time limit for either, the former is easier to model because there are fewer variables.</w:t>
      </w:r>
    </w:p>
    <w:p w:rsidR="0085478B" w:rsidRPr="0085478B" w:rsidRDefault="0085478B" w:rsidP="0085478B">
      <w:pPr>
        <w:shd w:val="clear" w:color="auto" w:fill="FFFFFF"/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6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5</w:t>
      </w:r>
    </w:p>
    <w:p w:rsidR="0085478B" w:rsidRPr="0085478B" w:rsidRDefault="0085478B" w:rsidP="0085478B">
      <w:pPr>
        <w:numPr>
          <w:ilvl w:val="0"/>
          <w:numId w:val="5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900"/>
        <w:gridCol w:w="4410"/>
      </w:tblGrid>
      <w:tr w:rsidR="0085478B" w:rsidRPr="0085478B" w:rsidTr="0085478B"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lastRenderedPageBreak/>
              <w:t>Units of Input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Total Output</w:t>
            </w:r>
          </w:p>
        </w:tc>
        <w:tc>
          <w:tcPr>
            <w:tcW w:w="4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B" w:rsidRPr="0085478B" w:rsidRDefault="0085478B" w:rsidP="0085478B">
            <w:pPr>
              <w:spacing w:before="75"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What is the marginal product of the fifth unit?</w:t>
            </w:r>
          </w:p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 Marginal Product = </w:t>
            </w:r>
            <w:r w:rsidRPr="0085478B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</w:rPr>
              <w:t>A:</w: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object w:dxaOrig="225" w:dyaOrig="225">
                <v:shape id="_x0000_i1141" type="#_x0000_t75" style="width:1in;height:18pt" o:ole="">
                  <v:imagedata r:id="rId40" o:title=""/>
                </v:shape>
                <w:control r:id="rId41" w:name="DefaultOcxName17" w:shapeid="_x0000_i1141"/>
              </w:objec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units of output</w:t>
            </w:r>
          </w:p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In this table, as more units of a particular input are employed, total output goes</w:t>
            </w:r>
            <w:r w:rsidRPr="0085478B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</w:rPr>
              <w:t> B:</w: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object w:dxaOrig="225" w:dyaOrig="225">
                <v:shape id="_x0000_i1144" type="#_x0000_t75" style="width:1in;height:18pt" o:ole="">
                  <v:imagedata r:id="rId42" o:title=""/>
                </v:shape>
                <w:control r:id="rId43" w:name="DefaultOcxName18" w:shapeid="_x0000_i1144"/>
              </w:objec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 while marginal output </w:t>
            </w: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  <w:bdr w:val="none" w:sz="0" w:space="0" w:color="auto" w:frame="1"/>
              </w:rPr>
              <w:t>goes </w:t>
            </w:r>
            <w:r w:rsidRPr="0085478B">
              <w:rPr>
                <w:rFonts w:ascii="inherit" w:eastAsia="Times New Roman" w:hAnsi="inherit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</w:t>
            </w:r>
            <w:proofErr w:type="gramStart"/>
            <w:r w:rsidRPr="0085478B">
              <w:rPr>
                <w:rFonts w:ascii="inherit" w:eastAsia="Times New Roman" w:hAnsi="inherit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:</w:t>
            </w: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proofErr w:type="gramEnd"/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  <w:bdr w:val="none" w:sz="0" w:space="0" w:color="auto" w:frame="1"/>
              </w:rPr>
              <w:object w:dxaOrig="225" w:dyaOrig="225">
                <v:shape id="_x0000_i1147" type="#_x0000_t75" style="width:1in;height:18pt" o:ole="">
                  <v:imagedata r:id="rId44" o:title=""/>
                </v:shape>
                <w:control r:id="rId45" w:name="DefaultOcxName19" w:shapeid="_x0000_i1147"/>
              </w:objec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.</w:t>
            </w:r>
          </w:p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This phenomenon is due to the law of </w:t>
            </w:r>
            <w:r w:rsidRPr="0085478B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</w:rPr>
              <w:t>D:</w: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object w:dxaOrig="225" w:dyaOrig="225">
                <v:shape id="_x0000_i1150" type="#_x0000_t75" style="width:1in;height:18pt" o:ole="">
                  <v:imagedata r:id="rId46" o:title=""/>
                </v:shape>
                <w:control r:id="rId47" w:name="DefaultOcxName20" w:shapeid="_x0000_i1150"/>
              </w:objec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 returns.</w:t>
            </w:r>
          </w:p>
        </w:tc>
      </w:tr>
      <w:tr w:rsidR="0085478B" w:rsidRPr="0085478B" w:rsidTr="0085478B"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85478B" w:rsidRPr="0085478B" w:rsidTr="0085478B"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85478B" w:rsidRPr="0085478B" w:rsidTr="0085478B"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85478B" w:rsidRPr="0085478B" w:rsidTr="0085478B"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85478B" w:rsidRPr="0085478B" w:rsidTr="0085478B"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85478B" w:rsidRPr="0085478B" w:rsidTr="0085478B"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85478B" w:rsidRPr="0085478B" w:rsidTr="0085478B"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478B" w:rsidRPr="0085478B" w:rsidRDefault="0085478B" w:rsidP="0085478B">
            <w:pPr>
              <w:spacing w:before="75" w:after="0" w:line="240" w:lineRule="auto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</w:tbl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12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6</w:t>
      </w:r>
    </w:p>
    <w:p w:rsidR="0085478B" w:rsidRPr="0085478B" w:rsidRDefault="0085478B" w:rsidP="0085478B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>For this question, use the second page of the Resource Sheet (click on the </w:t>
      </w:r>
      <w:r w:rsidRPr="0085478B">
        <w:rPr>
          <w:rFonts w:ascii="inherit" w:eastAsia="Times New Roman" w:hAnsi="inherit" w:cs="Times New Roman"/>
          <w:b/>
          <w:bCs/>
          <w:color w:val="000000"/>
          <w:sz w:val="18"/>
          <w:szCs w:val="18"/>
          <w:bdr w:val="none" w:sz="0" w:space="0" w:color="auto" w:frame="1"/>
        </w:rPr>
        <w:t>GRAPH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> tab at the bottom of the sheet). </w:t>
      </w:r>
    </w:p>
    <w:p w:rsidR="0085478B" w:rsidRPr="0085478B" w:rsidRDefault="0085478B" w:rsidP="0085478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>This is the production function for warehouse workers at Acme Widget Co. Note that up to the fourth warehouse worker, the firm is experiencing</w:t>
      </w:r>
      <w:r w:rsidRPr="0085478B">
        <w:rPr>
          <w:rFonts w:ascii="inherit" w:eastAsia="Times New Roman" w:hAnsi="inherit" w:cs="Times New Roman"/>
          <w:b/>
          <w:bCs/>
          <w:color w:val="000000"/>
          <w:sz w:val="18"/>
          <w:szCs w:val="18"/>
          <w:bdr w:val="none" w:sz="0" w:space="0" w:color="auto" w:frame="1"/>
        </w:rPr>
        <w:t> A: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object w:dxaOrig="225" w:dyaOrig="225">
          <v:shape id="_x0000_i1154" type="#_x0000_t75" style="width:60.75pt;height:18pt" o:ole="">
            <v:imagedata r:id="rId48" o:title=""/>
          </v:shape>
          <w:control r:id="rId49" w:name="DefaultOcxName21" w:shapeid="_x0000_i1154"/>
        </w:object>
      </w: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> marginal returns. One reason why we frequently observe this phenomenon at low levels of output is </w:t>
      </w:r>
      <w:r w:rsidRPr="0085478B">
        <w:rPr>
          <w:rFonts w:ascii="inherit" w:eastAsia="Times New Roman" w:hAnsi="inherit" w:cs="Times New Roman"/>
          <w:b/>
          <w:bCs/>
          <w:color w:val="000000"/>
          <w:sz w:val="18"/>
          <w:szCs w:val="18"/>
          <w:bdr w:val="none" w:sz="0" w:space="0" w:color="auto" w:frame="1"/>
        </w:rPr>
        <w:t>B</w:t>
      </w:r>
      <w:proofErr w:type="gramStart"/>
      <w:r w:rsidRPr="0085478B">
        <w:rPr>
          <w:rFonts w:ascii="inherit" w:eastAsia="Times New Roman" w:hAnsi="inherit" w:cs="Times New Roman"/>
          <w:b/>
          <w:bCs/>
          <w:color w:val="000000"/>
          <w:sz w:val="18"/>
          <w:szCs w:val="18"/>
          <w:bdr w:val="none" w:sz="0" w:space="0" w:color="auto" w:frame="1"/>
        </w:rPr>
        <w:t>: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gramEnd"/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object w:dxaOrig="225" w:dyaOrig="225">
          <v:shape id="_x0000_i1158" type="#_x0000_t75" style="width:60.75pt;height:18pt" o:ole="">
            <v:imagedata r:id="rId50" o:title=""/>
          </v:shape>
          <w:control r:id="rId51" w:name="DefaultOcxName22" w:shapeid="_x0000_i1158"/>
        </w:object>
      </w: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 xml:space="preserve">. That is, one worker can get good at one </w:t>
      </w:r>
      <w:proofErr w:type="gramStart"/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>task,</w:t>
      </w:r>
      <w:proofErr w:type="gramEnd"/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 xml:space="preserve"> another worker can get good at something else, etc. This phenomenon continues up until the company has hired </w:t>
      </w:r>
      <w:r w:rsidRPr="0085478B">
        <w:rPr>
          <w:rFonts w:ascii="inherit" w:eastAsia="Times New Roman" w:hAnsi="inherit" w:cs="Times New Roman"/>
          <w:b/>
          <w:bCs/>
          <w:color w:val="000000"/>
          <w:sz w:val="18"/>
          <w:szCs w:val="18"/>
          <w:bdr w:val="none" w:sz="0" w:space="0" w:color="auto" w:frame="1"/>
        </w:rPr>
        <w:t>C: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object w:dxaOrig="225" w:dyaOrig="225">
          <v:shape id="_x0000_i1162" type="#_x0000_t75" style="width:60.75pt;height:18pt" o:ole="">
            <v:imagedata r:id="rId52" o:title=""/>
          </v:shape>
          <w:control r:id="rId53" w:name="DefaultOcxName23" w:shapeid="_x0000_i1162"/>
        </w:object>
      </w:r>
      <w:r w:rsidRPr="0085478B">
        <w:rPr>
          <w:rFonts w:ascii="inherit" w:eastAsia="Times New Roman" w:hAnsi="inherit" w:cs="Times New Roman"/>
          <w:color w:val="000000"/>
          <w:sz w:val="18"/>
          <w:szCs w:val="18"/>
          <w:bdr w:val="none" w:sz="0" w:space="0" w:color="auto" w:frame="1"/>
        </w:rPr>
        <w:t> </w:t>
      </w:r>
      <w:r w:rsidRPr="0085478B">
        <w:rPr>
          <w:rFonts w:ascii="inherit" w:eastAsia="Times New Roman" w:hAnsi="inherit" w:cs="Times New Roman"/>
          <w:b/>
          <w:bCs/>
          <w:i/>
          <w:iCs/>
          <w:color w:val="888888"/>
          <w:sz w:val="15"/>
          <w:szCs w:val="15"/>
          <w:bdr w:val="none" w:sz="0" w:space="0" w:color="auto" w:frame="1"/>
        </w:rPr>
        <w:t>(enter number)</w:t>
      </w:r>
      <w:r w:rsidRPr="0085478B">
        <w:rPr>
          <w:rFonts w:ascii="inherit" w:eastAsia="Times New Roman" w:hAnsi="inherit" w:cs="Times New Roman"/>
          <w:b/>
          <w:bCs/>
          <w:color w:val="000000"/>
          <w:sz w:val="15"/>
          <w:szCs w:val="15"/>
          <w:bdr w:val="none" w:sz="0" w:space="0" w:color="auto" w:frame="1"/>
        </w:rPr>
        <w:t> </w: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workers. The marginal product of the third worker is</w:t>
      </w:r>
      <w:proofErr w:type="gramStart"/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D</w:t>
      </w:r>
      <w:proofErr w:type="gramEnd"/>
      <w:r w:rsidRPr="0085478B">
        <w:rPr>
          <w:rFonts w:ascii="inherit" w:eastAsia="Times New Roman" w:hAnsi="inherit" w:cs="Times New Roman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</w:rPr>
        <w:t>: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</w:rPr>
        <w:t> 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</w:rPr>
        <w:object w:dxaOrig="225" w:dyaOrig="225">
          <v:shape id="_x0000_i1166" type="#_x0000_t75" style="width:60.75pt;height:18pt" o:ole="">
            <v:imagedata r:id="rId54" o:title=""/>
          </v:shape>
          <w:control r:id="rId55" w:name="DefaultOcxName24" w:shapeid="_x0000_i1166"/>
        </w:object>
      </w:r>
      <w:r w:rsidRPr="0085478B">
        <w:rPr>
          <w:rFonts w:ascii="inherit" w:eastAsia="Times New Roman" w:hAnsi="inherit" w:cs="Times New Roman"/>
          <w:color w:val="000000"/>
          <w:sz w:val="18"/>
          <w:szCs w:val="18"/>
          <w:bdr w:val="none" w:sz="0" w:space="0" w:color="auto" w:frame="1"/>
          <w:shd w:val="clear" w:color="auto" w:fill="FFFFFF"/>
        </w:rPr>
        <w:t> </w:t>
      </w:r>
      <w:r w:rsidRPr="0085478B">
        <w:rPr>
          <w:rFonts w:ascii="inherit" w:eastAsia="Times New Roman" w:hAnsi="inherit" w:cs="Times New Roman"/>
          <w:b/>
          <w:bCs/>
          <w:i/>
          <w:iCs/>
          <w:color w:val="888888"/>
          <w:sz w:val="15"/>
          <w:szCs w:val="15"/>
          <w:bdr w:val="none" w:sz="0" w:space="0" w:color="auto" w:frame="1"/>
          <w:shd w:val="clear" w:color="auto" w:fill="FFFFFF"/>
        </w:rPr>
        <w:t>(enter number)</w:t>
      </w:r>
      <w:r w:rsidRPr="0085478B">
        <w:rPr>
          <w:rFonts w:ascii="inherit" w:eastAsia="Times New Roman" w:hAnsi="inherit" w:cs="Times New Roman"/>
          <w:b/>
          <w:bCs/>
          <w:color w:val="000000"/>
          <w:sz w:val="15"/>
          <w:szCs w:val="15"/>
          <w:bdr w:val="none" w:sz="0" w:space="0" w:color="auto" w:frame="1"/>
          <w:shd w:val="clear" w:color="auto" w:fill="FFFFFF"/>
        </w:rPr>
        <w:t> </w: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units of output. After the fourth worker, the firm is experiencing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E:</w: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object w:dxaOrig="225" w:dyaOrig="225">
          <v:shape id="_x0000_i1170" type="#_x0000_t75" style="width:60.75pt;height:18pt" o:ole="">
            <v:imagedata r:id="rId56" o:title=""/>
          </v:shape>
          <w:control r:id="rId57" w:name="DefaultOcxName25" w:shapeid="_x0000_i1170"/>
        </w:objec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marginal returns, even though total returns are still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F:</w: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object w:dxaOrig="225" w:dyaOrig="225">
          <v:shape id="_x0000_i1174" type="#_x0000_t75" style="width:60.75pt;height:18pt" o:ole="">
            <v:imagedata r:id="rId58" o:title=""/>
          </v:shape>
          <w:control r:id="rId59" w:name="DefaultOcxName26" w:shapeid="_x0000_i1174"/>
        </w:objec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 as more warehouse workers </w:t>
      </w:r>
      <w:proofErr w:type="gramStart"/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are added</w:t>
      </w:r>
      <w:proofErr w:type="gramEnd"/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 The marginal product of the sixth worker is</w:t>
      </w:r>
      <w:r w:rsidRPr="0085478B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G:</w:t>
      </w:r>
      <w:r w:rsidRPr="0085478B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85478B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object w:dxaOrig="225" w:dyaOrig="225">
          <v:shape id="_x0000_i1178" type="#_x0000_t75" style="width:49.5pt;height:18pt" o:ole="">
            <v:imagedata r:id="rId60" o:title=""/>
          </v:shape>
          <w:control r:id="rId61" w:name="DefaultOcxName27" w:shapeid="_x0000_i1178"/>
        </w:object>
      </w:r>
      <w:r w:rsidRPr="0085478B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 </w:t>
      </w:r>
      <w:r w:rsidRPr="0085478B">
        <w:rPr>
          <w:rFonts w:ascii="inherit" w:eastAsia="Times New Roman" w:hAnsi="inherit" w:cs="Times New Roman"/>
          <w:b/>
          <w:bCs/>
          <w:i/>
          <w:iCs/>
          <w:color w:val="000000"/>
          <w:sz w:val="15"/>
          <w:szCs w:val="15"/>
          <w:bdr w:val="none" w:sz="0" w:space="0" w:color="auto" w:frame="1"/>
          <w:shd w:val="clear" w:color="auto" w:fill="FFFFFF"/>
        </w:rPr>
        <w:t>(enter number)</w:t>
      </w:r>
      <w:r w:rsidRPr="0085478B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units of output.</w: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After the eighth worker, however, it is the </w:t>
      </w:r>
      <w:r w:rsidRPr="0085478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H:</w: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object w:dxaOrig="225" w:dyaOrig="225">
          <v:shape id="_x0000_i1182" type="#_x0000_t75" style="width:60.75pt;height:18pt" o:ole="">
            <v:imagedata r:id="rId62" o:title=""/>
          </v:shape>
          <w:control r:id="rId63" w:name="DefaultOcxName28" w:shapeid="_x0000_i1182"/>
        </w:object>
      </w:r>
      <w:r w:rsidRPr="0085478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returns start to diminish. </w:t>
      </w:r>
    </w:p>
    <w:p w:rsidR="0085478B" w:rsidRPr="0085478B" w:rsidRDefault="0085478B" w:rsidP="0085478B">
      <w:pPr>
        <w:shd w:val="clear" w:color="auto" w:fill="FFFFFF"/>
        <w:spacing w:after="45" w:line="240" w:lineRule="auto"/>
        <w:ind w:hanging="360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24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7</w:t>
      </w:r>
    </w:p>
    <w:p w:rsidR="0085478B" w:rsidRPr="0085478B" w:rsidRDefault="0085478B" w:rsidP="0085478B">
      <w:pPr>
        <w:numPr>
          <w:ilvl w:val="0"/>
          <w:numId w:val="7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</w:rPr>
        <w:t>Because the marginal product of a variable resource initially increases and later decreases as a firm increases its output,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8740"/>
      </w:tblGrid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85" type="#_x0000_t75" style="width:20.25pt;height:17.25pt" o:ole="">
                  <v:imagedata r:id="rId64" o:title=""/>
                </v:shape>
                <w:control r:id="rId65" w:name="DefaultOcxName29" w:shapeid="_x0000_i1185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average fixed cost declines as the output of the firm expands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88" type="#_x0000_t75" style="width:20.25pt;height:17.25pt" o:ole="">
                  <v:imagedata r:id="rId66" o:title=""/>
                </v:shape>
                <w:control r:id="rId67" w:name="DefaultOcxName30" w:shapeid="_x0000_i1188"/>
              </w:object>
            </w:r>
          </w:p>
        </w:tc>
        <w:tc>
          <w:tcPr>
            <w:tcW w:w="0" w:type="auto"/>
            <w:hideMark/>
          </w:tcPr>
          <w:p w:rsidR="0085478B" w:rsidRPr="002368D5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</w:pPr>
            <w:r w:rsidRPr="002368D5"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  <w:t>B.</w:t>
            </w:r>
          </w:p>
        </w:tc>
        <w:tc>
          <w:tcPr>
            <w:tcW w:w="0" w:type="auto"/>
            <w:hideMark/>
          </w:tcPr>
          <w:p w:rsidR="0085478B" w:rsidRPr="002368D5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u w:val="single"/>
              </w:rPr>
            </w:pPr>
            <w:r w:rsidRPr="002368D5">
              <w:rPr>
                <w:rFonts w:ascii="Verdana" w:eastAsia="Times New Roman" w:hAnsi="Verdana" w:cs="Times New Roman"/>
                <w:sz w:val="18"/>
                <w:szCs w:val="18"/>
                <w:u w:val="single"/>
                <w:bdr w:val="none" w:sz="0" w:space="0" w:color="auto" w:frame="1"/>
              </w:rPr>
              <w:t>average variable cost decreases at first and then increases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91" type="#_x0000_t75" style="width:20.25pt;height:17.25pt" o:ole="">
                  <v:imagedata r:id="rId64" o:title=""/>
                </v:shape>
                <w:control r:id="rId68" w:name="DefaultOcxName31" w:shapeid="_x0000_i1191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marginal cost at first increases and then decreases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94" type="#_x0000_t75" style="width:20.25pt;height:17.25pt" o:ole="">
                  <v:imagedata r:id="rId64" o:title=""/>
                </v:shape>
                <w:control r:id="rId69" w:name="DefaultOcxName32" w:shapeid="_x0000_i1194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variable cost at first increases by increasing amounts and then increases by decreasing amounts</w:t>
            </w:r>
          </w:p>
        </w:tc>
      </w:tr>
    </w:tbl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8</w:t>
      </w:r>
    </w:p>
    <w:p w:rsidR="0085478B" w:rsidRPr="0085478B" w:rsidRDefault="0085478B" w:rsidP="0085478B">
      <w:pPr>
        <w:numPr>
          <w:ilvl w:val="0"/>
          <w:numId w:val="8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</w:p>
    <w:tbl>
      <w:tblPr>
        <w:tblW w:w="30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0"/>
        <w:gridCol w:w="2158"/>
      </w:tblGrid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inline distT="0" distB="0" distL="0" distR="0">
                      <wp:extent cx="3133725" cy="2076450"/>
                      <wp:effectExtent l="0" t="0" r="0" b="0"/>
                      <wp:docPr id="1" name="Rectangle 1" descr="https://pgcconline.blackboard.com/bbcswebdav/pid-8482050-dt-content-rid-46894988_1/xid-46894988_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133725" cy="2076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40A23" w:rsidRDefault="00D40A23" w:rsidP="0085478B">
                                  <w:pPr>
                                    <w:jc w:val="center"/>
                                  </w:pPr>
                                  <w:r w:rsidRPr="0085478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950845" cy="1956027"/>
                                        <wp:effectExtent l="0" t="0" r="1905" b="6350"/>
                                        <wp:docPr id="2" name="Picture 2" descr="C:\Users\User\Desktop\cost curves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74" descr="C:\Users\User\Desktop\cost curves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950845" cy="19560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id="Rectangle 1" o:spid="_x0000_s1026" alt="https://pgcconline.blackboard.com/bbcswebdav/pid-8482050-dt-content-rid-46894988_1/xid-46894988_1" style="width:246.75pt;height:16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" filled="f" stroked="f">
                      <o:lock v:ext="edit" aspectratio="t"/>
                      <v:textbox>
                        <w:txbxContent>
                          <w:p w:rsidR="0085478B" w:rsidRDefault="0085478B" w:rsidP="0085478B">
                            <w:pPr>
                              <w:jc w:val="center"/>
                            </w:pPr>
                            <w:r w:rsidRPr="0085478B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50845" cy="1956027"/>
                                  <wp:effectExtent l="0" t="0" r="1905" b="6350"/>
                                  <wp:docPr id="2" name="Picture 2" descr="C:\Users\User\Desktop\cost curve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4" descr="C:\Users\User\Desktop\cost curve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0845" cy="19560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In the figure, curves </w:t>
            </w:r>
            <w:r w:rsidRPr="0085478B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bdr w:val="none" w:sz="0" w:space="0" w:color="auto" w:frame="1"/>
              </w:rPr>
              <w:t>1, 3, </w:t>
            </w: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and </w:t>
            </w:r>
            <w:r w:rsidRPr="0085478B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bdr w:val="none" w:sz="0" w:space="0" w:color="auto" w:frame="1"/>
              </w:rPr>
              <w:t>4, </w:t>
            </w: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respectively, represent</w:t>
            </w:r>
          </w:p>
        </w:tc>
      </w:tr>
    </w:tbl>
    <w:p w:rsidR="0085478B" w:rsidRPr="0085478B" w:rsidRDefault="0085478B" w:rsidP="00A06A72">
      <w:pPr>
        <w:shd w:val="clear" w:color="auto" w:fill="FFFFFF"/>
        <w:spacing w:after="9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"/>
        <w:gridCol w:w="215"/>
        <w:gridCol w:w="5477"/>
      </w:tblGrid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197" type="#_x0000_t75" style="width:20.25pt;height:17.25pt" o:ole="">
                  <v:imagedata r:id="rId64" o:title=""/>
                </v:shape>
                <w:control r:id="rId72" w:name="DefaultOcxName33" w:shapeid="_x0000_i1197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average variable cost, marginal cost, and average total cost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00" type="#_x0000_t75" style="width:20.25pt;height:17.25pt" o:ole="">
                  <v:imagedata r:id="rId66" o:title=""/>
                </v:shape>
                <w:control r:id="rId73" w:name="DefaultOcxName34" w:shapeid="_x0000_i1200"/>
              </w:object>
            </w:r>
          </w:p>
        </w:tc>
        <w:tc>
          <w:tcPr>
            <w:tcW w:w="0" w:type="auto"/>
            <w:hideMark/>
          </w:tcPr>
          <w:p w:rsidR="0085478B" w:rsidRPr="00E05643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</w:pPr>
            <w:r w:rsidRPr="00E05643"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  <w:t>B.</w:t>
            </w:r>
          </w:p>
        </w:tc>
        <w:tc>
          <w:tcPr>
            <w:tcW w:w="0" w:type="auto"/>
            <w:hideMark/>
          </w:tcPr>
          <w:p w:rsidR="0085478B" w:rsidRPr="00E05643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u w:val="single"/>
              </w:rPr>
            </w:pPr>
            <w:r w:rsidRPr="00E05643">
              <w:rPr>
                <w:rFonts w:ascii="Verdana" w:eastAsia="Times New Roman" w:hAnsi="Verdana" w:cs="Times New Roman"/>
                <w:sz w:val="18"/>
                <w:szCs w:val="18"/>
                <w:u w:val="single"/>
                <w:bdr w:val="none" w:sz="0" w:space="0" w:color="auto" w:frame="1"/>
              </w:rPr>
              <w:t>average fixed cost, average total cost, and marginal cost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03" type="#_x0000_t75" style="width:20.25pt;height:17.25pt" o:ole="">
                  <v:imagedata r:id="rId64" o:title=""/>
                </v:shape>
                <w:control r:id="rId74" w:name="DefaultOcxName35" w:shapeid="_x0000_i1203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marginal cost, average total cost, and average variable cost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06" type="#_x0000_t75" style="width:20.25pt;height:17.25pt" o:ole="">
                  <v:imagedata r:id="rId64" o:title=""/>
                </v:shape>
                <w:control r:id="rId75" w:name="DefaultOcxName36" w:shapeid="_x0000_i1206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average total cost, average variable cost, and marginal cost</w:t>
            </w:r>
          </w:p>
        </w:tc>
      </w:tr>
      <w:tr w:rsidR="00A06A72" w:rsidRPr="0085478B" w:rsidTr="0085478B">
        <w:tc>
          <w:tcPr>
            <w:tcW w:w="0" w:type="auto"/>
          </w:tcPr>
          <w:p w:rsidR="00A06A72" w:rsidRPr="004E0D4D" w:rsidRDefault="00A06A72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</w:pPr>
            <w:r w:rsidRPr="004E0D4D"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  <w:t>Curve1=AFC</w:t>
            </w:r>
          </w:p>
          <w:p w:rsidR="00A06A72" w:rsidRPr="004E0D4D" w:rsidRDefault="004E0D4D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</w:pPr>
            <w:r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  <w:t>Curve2</w:t>
            </w:r>
            <w:r w:rsidR="00A06A72" w:rsidRPr="004E0D4D"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  <w:t>AVC</w:t>
            </w:r>
          </w:p>
          <w:p w:rsidR="00A06A72" w:rsidRPr="004E0D4D" w:rsidRDefault="00A06A72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</w:pPr>
            <w:r w:rsidRPr="004E0D4D"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  <w:t>Curve3=ATC</w:t>
            </w:r>
          </w:p>
          <w:p w:rsidR="00A06A72" w:rsidRPr="004E0D4D" w:rsidRDefault="00A06A72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</w:pPr>
            <w:r w:rsidRPr="004E0D4D"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  <w:t>Curve4=MC</w:t>
            </w:r>
          </w:p>
        </w:tc>
        <w:tc>
          <w:tcPr>
            <w:tcW w:w="0" w:type="auto"/>
          </w:tcPr>
          <w:p w:rsidR="00A06A72" w:rsidRPr="004E0D4D" w:rsidRDefault="00A06A72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0" w:type="auto"/>
          </w:tcPr>
          <w:p w:rsidR="00A06A72" w:rsidRPr="0085478B" w:rsidRDefault="00A06A72" w:rsidP="0085478B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</w:pPr>
          </w:p>
        </w:tc>
      </w:tr>
    </w:tbl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9</w:t>
      </w:r>
    </w:p>
    <w:p w:rsidR="0085478B" w:rsidRPr="0085478B" w:rsidRDefault="0085478B" w:rsidP="0085478B">
      <w:pPr>
        <w:numPr>
          <w:ilvl w:val="0"/>
          <w:numId w:val="9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</w:p>
    <w:tbl>
      <w:tblPr>
        <w:tblW w:w="141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97"/>
        <w:gridCol w:w="12826"/>
      </w:tblGrid>
      <w:tr w:rsidR="0085478B" w:rsidRPr="0085478B" w:rsidTr="0085478B">
        <w:trPr>
          <w:tblCellSpacing w:w="0" w:type="dxa"/>
        </w:trPr>
        <w:tc>
          <w:tcPr>
            <w:tcW w:w="0" w:type="auto"/>
            <w:gridSpan w:val="3"/>
            <w:shd w:val="clear" w:color="auto" w:fill="FFFFFF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Which factor contributes to economies of scale?</w:t>
            </w:r>
          </w:p>
        </w:tc>
      </w:tr>
      <w:tr w:rsidR="0085478B" w:rsidRPr="0085478B" w:rsidTr="0085478B">
        <w:tblPrEx>
          <w:tblCellSpacing w:w="0" w:type="nil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09" type="#_x0000_t75" style="width:20.25pt;height:17.25pt" o:ole="">
                  <v:imagedata r:id="rId64" o:title=""/>
                </v:shape>
                <w:control r:id="rId76" w:name="DefaultOcxName37" w:shapeid="_x0000_i1209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less efficient use of capital goods</w:t>
            </w:r>
          </w:p>
        </w:tc>
      </w:tr>
      <w:tr w:rsidR="0085478B" w:rsidRPr="0085478B" w:rsidTr="0085478B">
        <w:tblPrEx>
          <w:tblCellSpacing w:w="0" w:type="nil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12" type="#_x0000_t75" style="width:20.25pt;height:17.25pt" o:ole="">
                  <v:imagedata r:id="rId64" o:title=""/>
                </v:shape>
                <w:control r:id="rId77" w:name="DefaultOcxName38" w:shapeid="_x0000_i1212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less division of labor and specialization</w:t>
            </w:r>
          </w:p>
        </w:tc>
      </w:tr>
      <w:tr w:rsidR="0085478B" w:rsidRPr="0085478B" w:rsidTr="0085478B">
        <w:tblPrEx>
          <w:tblCellSpacing w:w="0" w:type="nil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15" type="#_x0000_t75" style="width:20.25pt;height:17.25pt" o:ole="">
                  <v:imagedata r:id="rId66" o:title=""/>
                </v:shape>
                <w:control r:id="rId78" w:name="DefaultOcxName39" w:shapeid="_x0000_i1215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85478B" w:rsidRPr="00895ACA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u w:val="single"/>
              </w:rPr>
            </w:pPr>
            <w:r w:rsidRPr="00895ACA">
              <w:rPr>
                <w:rFonts w:ascii="Verdana" w:eastAsia="Times New Roman" w:hAnsi="Verdana" w:cs="Times New Roman"/>
                <w:sz w:val="18"/>
                <w:szCs w:val="18"/>
                <w:u w:val="single"/>
                <w:bdr w:val="none" w:sz="0" w:space="0" w:color="auto" w:frame="1"/>
              </w:rPr>
              <w:t>greater specialization in management of a firm</w:t>
            </w:r>
          </w:p>
        </w:tc>
      </w:tr>
      <w:tr w:rsidR="0085478B" w:rsidRPr="0085478B" w:rsidTr="0085478B">
        <w:tblPrEx>
          <w:tblCellSpacing w:w="0" w:type="nil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18" type="#_x0000_t75" style="width:20.25pt;height:17.25pt" o:ole="">
                  <v:imagedata r:id="rId64" o:title=""/>
                </v:shape>
                <w:control r:id="rId79" w:name="DefaultOcxName40" w:shapeid="_x0000_i1218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greater difficulty controlling the operations of a firm</w:t>
            </w:r>
          </w:p>
        </w:tc>
      </w:tr>
    </w:tbl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10</w:t>
      </w:r>
    </w:p>
    <w:p w:rsidR="0085478B" w:rsidRPr="0085478B" w:rsidRDefault="0085478B" w:rsidP="0085478B">
      <w:pPr>
        <w:numPr>
          <w:ilvl w:val="0"/>
          <w:numId w:val="10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</w:rPr>
        <w:t>A firm is encountering constant returns to scale when it increases all of its inputs by 20% and its output increases by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2475"/>
      </w:tblGrid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21" type="#_x0000_t75" style="width:20.25pt;height:17.25pt" o:ole="">
                  <v:imagedata r:id="rId64" o:title=""/>
                </v:shape>
                <w:control r:id="rId80" w:name="DefaultOcxName41" w:shapeid="_x0000_i1221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sz w:val="18"/>
                <w:szCs w:val="18"/>
                <w:bdr w:val="none" w:sz="0" w:space="0" w:color="auto" w:frame="1"/>
              </w:rPr>
              <w:t>10%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24" type="#_x0000_t75" style="width:20.25pt;height:17.25pt" o:ole="">
                  <v:imagedata r:id="rId66" o:title=""/>
                </v:shape>
                <w:control r:id="rId81" w:name="DefaultOcxName42" w:shapeid="_x0000_i1224"/>
              </w:object>
            </w:r>
          </w:p>
        </w:tc>
        <w:tc>
          <w:tcPr>
            <w:tcW w:w="0" w:type="auto"/>
            <w:hideMark/>
          </w:tcPr>
          <w:p w:rsidR="0085478B" w:rsidRPr="00D53D77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</w:pPr>
            <w:r w:rsidRPr="00D53D77"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  <w:t>B.</w:t>
            </w:r>
          </w:p>
        </w:tc>
        <w:tc>
          <w:tcPr>
            <w:tcW w:w="0" w:type="auto"/>
            <w:hideMark/>
          </w:tcPr>
          <w:p w:rsidR="0085478B" w:rsidRPr="00D53D77" w:rsidRDefault="0085478B" w:rsidP="0085478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  <w:u w:val="single"/>
              </w:rPr>
            </w:pPr>
            <w:r w:rsidRPr="00D53D77">
              <w:rPr>
                <w:rFonts w:ascii="inherit" w:eastAsia="Times New Roman" w:hAnsi="inherit" w:cs="Times New Roman"/>
                <w:sz w:val="20"/>
                <w:szCs w:val="20"/>
                <w:u w:val="single"/>
              </w:rPr>
              <w:t>20%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27" type="#_x0000_t75" style="width:20.25pt;height:17.25pt" o:ole="">
                  <v:imagedata r:id="rId64" o:title=""/>
                </v:shape>
                <w:control r:id="rId82" w:name="DefaultOcxName43" w:shapeid="_x0000_i1227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30%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30" type="#_x0000_t75" style="width:20.25pt;height:17.25pt" o:ole="">
                  <v:imagedata r:id="rId64" o:title=""/>
                </v:shape>
                <w:control r:id="rId83" w:name="DefaultOcxName44" w:shapeid="_x0000_i1230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Not enough information to tell</w:t>
            </w:r>
          </w:p>
        </w:tc>
      </w:tr>
    </w:tbl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11</w:t>
      </w:r>
    </w:p>
    <w:p w:rsidR="0085478B" w:rsidRPr="0085478B" w:rsidRDefault="0085478B" w:rsidP="0085478B">
      <w:pPr>
        <w:numPr>
          <w:ilvl w:val="0"/>
          <w:numId w:val="11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Verdana" w:eastAsia="Times New Roman" w:hAnsi="Verdana" w:cs="Times New Roman"/>
          <w:i/>
          <w:iCs/>
          <w:color w:val="000000"/>
          <w:sz w:val="18"/>
          <w:szCs w:val="18"/>
          <w:shd w:val="clear" w:color="auto" w:fill="FFFFFF"/>
        </w:rPr>
        <w:t xml:space="preserve">Use the data given in the following table. The fixed cost of the firm is $500, and the firm's total variable cost </w:t>
      </w:r>
      <w:proofErr w:type="gramStart"/>
      <w:r w:rsidRPr="0085478B">
        <w:rPr>
          <w:rFonts w:ascii="Verdana" w:eastAsia="Times New Roman" w:hAnsi="Verdana" w:cs="Times New Roman"/>
          <w:i/>
          <w:iCs/>
          <w:color w:val="000000"/>
          <w:sz w:val="18"/>
          <w:szCs w:val="18"/>
          <w:shd w:val="clear" w:color="auto" w:fill="FFFFFF"/>
        </w:rPr>
        <w:t>is indicated</w:t>
      </w:r>
      <w:proofErr w:type="gramEnd"/>
      <w:r w:rsidRPr="0085478B">
        <w:rPr>
          <w:rFonts w:ascii="Verdana" w:eastAsia="Times New Roman" w:hAnsi="Verdana" w:cs="Times New Roman"/>
          <w:i/>
          <w:iCs/>
          <w:color w:val="000000"/>
          <w:sz w:val="18"/>
          <w:szCs w:val="18"/>
          <w:shd w:val="clear" w:color="auto" w:fill="FFFFFF"/>
        </w:rPr>
        <w:t xml:space="preserve"> in the table.</w:t>
      </w:r>
    </w:p>
    <w:tbl>
      <w:tblPr>
        <w:tblW w:w="2430" w:type="dxa"/>
        <w:tblCellSpacing w:w="15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0F0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"/>
        <w:gridCol w:w="1709"/>
      </w:tblGrid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lastRenderedPageBreak/>
              <w:t>Output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24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Total Variable Cost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24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200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360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500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700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1,000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1,800</w:t>
            </w:r>
          </w:p>
        </w:tc>
      </w:tr>
    </w:tbl>
    <w:p w:rsidR="0085478B" w:rsidRPr="0085478B" w:rsidRDefault="0085478B" w:rsidP="0085478B">
      <w:pPr>
        <w:numPr>
          <w:ilvl w:val="0"/>
          <w:numId w:val="11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</w:rPr>
        <w:t>The </w:t>
      </w:r>
      <w:r w:rsidRPr="0085478B">
        <w:rPr>
          <w:rFonts w:ascii="inherit" w:eastAsia="Times New Roman" w:hAnsi="inherit" w:cs="Times New Roman"/>
          <w:b/>
          <w:bCs/>
          <w:i/>
          <w:iCs/>
          <w:color w:val="888888"/>
          <w:sz w:val="18"/>
          <w:szCs w:val="18"/>
          <w:bdr w:val="none" w:sz="0" w:space="0" w:color="auto" w:frame="1"/>
          <w:shd w:val="clear" w:color="auto" w:fill="FFFFFF"/>
        </w:rPr>
        <w:t>average variable cost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</w:rPr>
        <w:t> of the firm when 4 units of output are produced is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488"/>
      </w:tblGrid>
      <w:tr w:rsidR="0085478B" w:rsidRPr="00953725" w:rsidTr="00335351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33" type="#_x0000_t75" style="width:20.25pt;height:17.25pt" o:ole="">
                  <v:imagedata r:id="rId66" o:title=""/>
                </v:shape>
                <w:control r:id="rId84" w:name="DefaultOcxName45" w:shapeid="_x0000_i1233"/>
              </w:object>
            </w:r>
          </w:p>
        </w:tc>
        <w:tc>
          <w:tcPr>
            <w:tcW w:w="0" w:type="auto"/>
            <w:hideMark/>
          </w:tcPr>
          <w:p w:rsidR="0085478B" w:rsidRPr="00953725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</w:pPr>
            <w:r w:rsidRPr="00953725"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  <w:t>A.</w:t>
            </w:r>
          </w:p>
        </w:tc>
        <w:tc>
          <w:tcPr>
            <w:tcW w:w="488" w:type="dxa"/>
            <w:hideMark/>
          </w:tcPr>
          <w:p w:rsidR="0085478B" w:rsidRPr="00953725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u w:val="single"/>
              </w:rPr>
            </w:pPr>
            <w:r w:rsidRPr="00953725">
              <w:rPr>
                <w:rFonts w:ascii="Verdana" w:eastAsia="Times New Roman" w:hAnsi="Verdana" w:cs="Times New Roman"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</w:rPr>
              <w:t>$175</w:t>
            </w:r>
          </w:p>
        </w:tc>
      </w:tr>
      <w:tr w:rsidR="0085478B" w:rsidRPr="0085478B" w:rsidTr="00335351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36" type="#_x0000_t75" style="width:20.25pt;height:17.25pt" o:ole="">
                  <v:imagedata r:id="rId64" o:title=""/>
                </v:shape>
                <w:control r:id="rId85" w:name="DefaultOcxName46" w:shapeid="_x0000_i1236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488" w:type="dxa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$200</w:t>
            </w:r>
          </w:p>
        </w:tc>
      </w:tr>
      <w:tr w:rsidR="0085478B" w:rsidRPr="0085478B" w:rsidTr="00335351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39" type="#_x0000_t75" style="width:20.25pt;height:17.25pt" o:ole="">
                  <v:imagedata r:id="rId64" o:title=""/>
                </v:shape>
                <w:control r:id="rId86" w:name="DefaultOcxName47" w:shapeid="_x0000_i1239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488" w:type="dxa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$300</w:t>
            </w:r>
          </w:p>
        </w:tc>
      </w:tr>
      <w:tr w:rsidR="0085478B" w:rsidRPr="0085478B" w:rsidTr="00335351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42" type="#_x0000_t75" style="width:20.25pt;height:17.25pt" o:ole="">
                  <v:imagedata r:id="rId64" o:title=""/>
                </v:shape>
                <w:control r:id="rId87" w:name="DefaultOcxName48" w:shapeid="_x0000_i1242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488" w:type="dxa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$700</w:t>
            </w:r>
          </w:p>
        </w:tc>
      </w:tr>
    </w:tbl>
    <w:p w:rsidR="007D01F8" w:rsidRDefault="007D01F8" w:rsidP="007D01F8">
      <w:pPr>
        <w:shd w:val="clear" w:color="auto" w:fill="FFFFFF"/>
        <w:spacing w:before="135" w:after="0" w:line="240" w:lineRule="auto"/>
        <w:jc w:val="both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AVC=TVC/Q</w:t>
      </w:r>
    </w:p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12</w:t>
      </w:r>
    </w:p>
    <w:p w:rsidR="0085478B" w:rsidRPr="0085478B" w:rsidRDefault="0085478B" w:rsidP="0085478B">
      <w:pPr>
        <w:numPr>
          <w:ilvl w:val="0"/>
          <w:numId w:val="12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Verdana" w:eastAsia="Times New Roman" w:hAnsi="Verdana" w:cs="Times New Roman"/>
          <w:i/>
          <w:iCs/>
          <w:color w:val="000000"/>
          <w:sz w:val="18"/>
          <w:szCs w:val="18"/>
          <w:shd w:val="clear" w:color="auto" w:fill="FFFFFF"/>
        </w:rPr>
        <w:t xml:space="preserve">Use the data given in the following table. The fixed cost of the firm is $500, and the firm's total variable cost </w:t>
      </w:r>
      <w:proofErr w:type="gramStart"/>
      <w:r w:rsidRPr="0085478B">
        <w:rPr>
          <w:rFonts w:ascii="Verdana" w:eastAsia="Times New Roman" w:hAnsi="Verdana" w:cs="Times New Roman"/>
          <w:i/>
          <w:iCs/>
          <w:color w:val="000000"/>
          <w:sz w:val="18"/>
          <w:szCs w:val="18"/>
          <w:shd w:val="clear" w:color="auto" w:fill="FFFFFF"/>
        </w:rPr>
        <w:t>is indicated</w:t>
      </w:r>
      <w:proofErr w:type="gramEnd"/>
      <w:r w:rsidRPr="0085478B">
        <w:rPr>
          <w:rFonts w:ascii="Verdana" w:eastAsia="Times New Roman" w:hAnsi="Verdana" w:cs="Times New Roman"/>
          <w:i/>
          <w:iCs/>
          <w:color w:val="000000"/>
          <w:sz w:val="18"/>
          <w:szCs w:val="18"/>
          <w:shd w:val="clear" w:color="auto" w:fill="FFFFFF"/>
        </w:rPr>
        <w:t xml:space="preserve"> in the table.</w:t>
      </w:r>
    </w:p>
    <w:tbl>
      <w:tblPr>
        <w:tblW w:w="2430" w:type="dxa"/>
        <w:tblCellSpacing w:w="15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0F0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"/>
        <w:gridCol w:w="1709"/>
      </w:tblGrid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Output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24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Total Variable Cost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24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200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360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500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700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1,000</w:t>
            </w:r>
          </w:p>
        </w:tc>
      </w:tr>
      <w:tr w:rsidR="0085478B" w:rsidRPr="0085478B" w:rsidTr="0085478B">
        <w:trPr>
          <w:tblCellSpacing w:w="15" w:type="dxa"/>
        </w:trPr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5478B" w:rsidRPr="0085478B" w:rsidRDefault="0085478B" w:rsidP="0085478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85478B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1,800</w:t>
            </w:r>
          </w:p>
        </w:tc>
      </w:tr>
    </w:tbl>
    <w:p w:rsidR="0085478B" w:rsidRPr="0085478B" w:rsidRDefault="0085478B" w:rsidP="0085478B">
      <w:pPr>
        <w:numPr>
          <w:ilvl w:val="0"/>
          <w:numId w:val="12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</w:rPr>
        <w:t>The </w:t>
      </w:r>
      <w:r w:rsidRPr="0085478B">
        <w:rPr>
          <w:rFonts w:ascii="inherit" w:eastAsia="Times New Roman" w:hAnsi="inherit" w:cs="Times New Roman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</w:rPr>
        <w:t>average total cost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</w:rPr>
        <w:t> of the firm when 4 units of output are being produced is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2324"/>
      </w:tblGrid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45" type="#_x0000_t75" style="width:20.25pt;height:17.25pt" o:ole="">
                  <v:imagedata r:id="rId64" o:title=""/>
                </v:shape>
                <w:control r:id="rId88" w:name="DefaultOcxName49" w:shapeid="_x0000_i1245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$175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48" type="#_x0000_t75" style="width:20.25pt;height:17.25pt" o:ole="">
                  <v:imagedata r:id="rId64" o:title=""/>
                </v:shape>
                <w:control r:id="rId89" w:name="DefaultOcxName50" w:shapeid="_x0000_i1248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$200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51" type="#_x0000_t75" style="width:20.25pt;height:17.25pt" o:ole="">
                  <v:imagedata r:id="rId66" o:title=""/>
                </v:shape>
                <w:control r:id="rId90" w:name="DefaultOcxName51" w:shapeid="_x0000_i1251"/>
              </w:object>
            </w:r>
          </w:p>
        </w:tc>
        <w:tc>
          <w:tcPr>
            <w:tcW w:w="0" w:type="auto"/>
            <w:hideMark/>
          </w:tcPr>
          <w:p w:rsidR="0085478B" w:rsidRPr="00293729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</w:pPr>
            <w:r w:rsidRPr="00293729"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  <w:t>C.</w:t>
            </w:r>
          </w:p>
        </w:tc>
        <w:tc>
          <w:tcPr>
            <w:tcW w:w="0" w:type="auto"/>
            <w:hideMark/>
          </w:tcPr>
          <w:p w:rsidR="0085478B" w:rsidRPr="00293729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u w:val="single"/>
              </w:rPr>
            </w:pPr>
            <w:r w:rsidRPr="00293729">
              <w:rPr>
                <w:rFonts w:ascii="Verdana" w:eastAsia="Times New Roman" w:hAnsi="Verdana" w:cs="Times New Roman"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</w:rPr>
              <w:t>$300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54" type="#_x0000_t75" style="width:20.25pt;height:17.25pt" o:ole="">
                  <v:imagedata r:id="rId64" o:title=""/>
                </v:shape>
                <w:control r:id="rId91" w:name="DefaultOcxName52" w:shapeid="_x0000_i1254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hideMark/>
          </w:tcPr>
          <w:p w:rsid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$700</w:t>
            </w:r>
            <w:r w:rsidRPr="0085478B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</w:p>
          <w:p w:rsidR="00896523" w:rsidRPr="0085478B" w:rsidRDefault="00896523" w:rsidP="0029372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>
              <w:rPr>
                <w:rFonts w:ascii="inherit" w:eastAsia="Times New Roman" w:hAnsi="inherit" w:cs="Times New Roman"/>
                <w:sz w:val="20"/>
                <w:szCs w:val="20"/>
              </w:rPr>
              <w:t>ATC=TC</w:t>
            </w:r>
            <w:r w:rsidR="00F649EA" w:rsidRPr="00293729">
              <w:rPr>
                <w:rFonts w:ascii="inherit" w:eastAsia="Times New Roman" w:hAnsi="inherit" w:cs="Times New Roman"/>
                <w:b/>
                <w:sz w:val="20"/>
                <w:szCs w:val="20"/>
              </w:rPr>
              <w:t>(</w:t>
            </w:r>
            <w:r w:rsidR="00293729" w:rsidRPr="00293729">
              <w:rPr>
                <w:rFonts w:ascii="inherit" w:eastAsia="Times New Roman" w:hAnsi="inherit" w:cs="Times New Roman"/>
                <w:b/>
                <w:sz w:val="20"/>
                <w:szCs w:val="20"/>
              </w:rPr>
              <w:t>T</w:t>
            </w:r>
            <w:r w:rsidR="00F649EA" w:rsidRPr="00293729">
              <w:rPr>
                <w:rFonts w:ascii="inherit" w:eastAsia="Times New Roman" w:hAnsi="inherit" w:cs="Times New Roman"/>
                <w:b/>
                <w:sz w:val="20"/>
                <w:szCs w:val="20"/>
              </w:rPr>
              <w:t>FC+</w:t>
            </w:r>
            <w:r w:rsidR="00293729" w:rsidRPr="00293729">
              <w:rPr>
                <w:rFonts w:ascii="inherit" w:eastAsia="Times New Roman" w:hAnsi="inherit" w:cs="Times New Roman"/>
                <w:b/>
                <w:sz w:val="20"/>
                <w:szCs w:val="20"/>
              </w:rPr>
              <w:t>T</w:t>
            </w:r>
            <w:r w:rsidR="00F649EA" w:rsidRPr="00293729">
              <w:rPr>
                <w:rFonts w:ascii="inherit" w:eastAsia="Times New Roman" w:hAnsi="inherit" w:cs="Times New Roman"/>
                <w:b/>
                <w:sz w:val="20"/>
                <w:szCs w:val="20"/>
              </w:rPr>
              <w:t>VC)</w:t>
            </w:r>
            <w:r w:rsidRPr="00293729">
              <w:rPr>
                <w:rFonts w:ascii="inherit" w:eastAsia="Times New Roman" w:hAnsi="inherit" w:cs="Times New Roman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Q</w:t>
            </w:r>
            <w:r w:rsidR="00293729">
              <w:rPr>
                <w:rFonts w:ascii="inherit" w:eastAsia="Times New Roman" w:hAnsi="inherit" w:cs="Times New Roman"/>
                <w:sz w:val="20"/>
                <w:szCs w:val="20"/>
              </w:rPr>
              <w:t>nty</w:t>
            </w:r>
            <w:proofErr w:type="spellEnd"/>
          </w:p>
        </w:tc>
      </w:tr>
    </w:tbl>
    <w:p w:rsidR="0085478B" w:rsidRPr="0085478B" w:rsidRDefault="0085478B" w:rsidP="0085478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85478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lastRenderedPageBreak/>
        <w:t>2 points   </w:t>
      </w:r>
    </w:p>
    <w:p w:rsidR="0085478B" w:rsidRPr="0085478B" w:rsidRDefault="0085478B" w:rsidP="0085478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85478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13</w:t>
      </w:r>
    </w:p>
    <w:p w:rsidR="0085478B" w:rsidRPr="0085478B" w:rsidRDefault="0085478B" w:rsidP="0085478B">
      <w:pPr>
        <w:numPr>
          <w:ilvl w:val="0"/>
          <w:numId w:val="13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Verdana" w:eastAsia="Times New Roman" w:hAnsi="Verdana" w:cs="Times New Roman"/>
          <w:i/>
          <w:iCs/>
          <w:color w:val="000000"/>
          <w:sz w:val="18"/>
          <w:szCs w:val="18"/>
          <w:shd w:val="clear" w:color="auto" w:fill="FFFFFF"/>
        </w:rPr>
        <w:t>Use the data in the table on the resource sheet (Excel file with word bank) to answer the following.</w:t>
      </w:r>
    </w:p>
    <w:p w:rsidR="0085478B" w:rsidRPr="0085478B" w:rsidRDefault="0085478B" w:rsidP="0085478B">
      <w:pPr>
        <w:shd w:val="clear" w:color="auto" w:fill="FFFFFF"/>
        <w:spacing w:after="45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85478B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</w:rPr>
        <w:t>The </w:t>
      </w:r>
      <w:r w:rsidRPr="0085478B">
        <w:rPr>
          <w:rFonts w:ascii="inherit" w:eastAsia="Times New Roman" w:hAnsi="inherit" w:cs="Times New Roman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</w:rPr>
        <w:t>marginal cost</w:t>
      </w:r>
      <w:r w:rsidRPr="0085478B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</w:rPr>
        <w:t> of the sixth unit of output is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"/>
        <w:gridCol w:w="215"/>
        <w:gridCol w:w="488"/>
      </w:tblGrid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57" type="#_x0000_t75" style="width:20.25pt;height:17.25pt" o:ole="">
                  <v:imagedata r:id="rId64" o:title=""/>
                </v:shape>
                <w:control r:id="rId92" w:name="DefaultOcxName53" w:shapeid="_x0000_i1257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$200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0" type="#_x0000_t75" style="width:20.25pt;height:17.25pt" o:ole="">
                  <v:imagedata r:id="rId64" o:title=""/>
                </v:shape>
                <w:control r:id="rId93" w:name="DefaultOcxName54" w:shapeid="_x0000_i1260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$300</w:t>
            </w:r>
          </w:p>
        </w:tc>
      </w:tr>
      <w:tr w:rsidR="0085478B" w:rsidRPr="0085478B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3" type="#_x0000_t75" style="width:20.25pt;height:17.25pt" o:ole="">
                  <v:imagedata r:id="rId64" o:title=""/>
                </v:shape>
                <w:control r:id="rId94" w:name="DefaultOcxName55" w:shapeid="_x0000_i1263"/>
              </w:objec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85478B"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$700</w:t>
            </w:r>
          </w:p>
        </w:tc>
      </w:tr>
      <w:tr w:rsidR="0085478B" w:rsidRPr="00273434" w:rsidTr="0085478B">
        <w:tc>
          <w:tcPr>
            <w:tcW w:w="0" w:type="auto"/>
            <w:hideMark/>
          </w:tcPr>
          <w:p w:rsidR="0085478B" w:rsidRPr="0085478B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85478B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6" type="#_x0000_t75" style="width:20.25pt;height:17.25pt" o:ole="">
                  <v:imagedata r:id="rId66" o:title=""/>
                </v:shape>
                <w:control r:id="rId95" w:name="DefaultOcxName56" w:shapeid="_x0000_i1266"/>
              </w:object>
            </w:r>
          </w:p>
        </w:tc>
        <w:tc>
          <w:tcPr>
            <w:tcW w:w="0" w:type="auto"/>
            <w:hideMark/>
          </w:tcPr>
          <w:p w:rsidR="0085478B" w:rsidRPr="00273434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</w:pPr>
            <w:r w:rsidRPr="00273434">
              <w:rPr>
                <w:rFonts w:ascii="inherit" w:eastAsia="Times New Roman" w:hAnsi="inherit" w:cs="Times New Roman"/>
                <w:sz w:val="19"/>
                <w:szCs w:val="19"/>
                <w:u w:val="single"/>
              </w:rPr>
              <w:t>D.</w:t>
            </w:r>
          </w:p>
        </w:tc>
        <w:tc>
          <w:tcPr>
            <w:tcW w:w="0" w:type="auto"/>
            <w:hideMark/>
          </w:tcPr>
          <w:p w:rsidR="0085478B" w:rsidRPr="00273434" w:rsidRDefault="0085478B" w:rsidP="0085478B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u w:val="single"/>
              </w:rPr>
            </w:pPr>
            <w:r w:rsidRPr="00273434">
              <w:rPr>
                <w:rFonts w:ascii="Verdana" w:eastAsia="Times New Roman" w:hAnsi="Verdana" w:cs="Times New Roman"/>
                <w:color w:val="000000"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</w:rPr>
              <w:t>$800</w:t>
            </w:r>
          </w:p>
        </w:tc>
      </w:tr>
      <w:tr w:rsidR="004D6E69" w:rsidRPr="0085478B" w:rsidTr="0085478B">
        <w:tc>
          <w:tcPr>
            <w:tcW w:w="0" w:type="auto"/>
          </w:tcPr>
          <w:p w:rsidR="004D6E69" w:rsidRPr="0085478B" w:rsidRDefault="004D6E69" w:rsidP="004D6E6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>
              <w:rPr>
                <w:rFonts w:ascii="inherit" w:eastAsia="Times New Roman" w:hAnsi="inherit" w:cs="Times New Roman"/>
                <w:sz w:val="19"/>
                <w:szCs w:val="19"/>
              </w:rPr>
              <w:t>MC=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19"/>
                      <w:szCs w:val="19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9"/>
                      <w:szCs w:val="19"/>
                    </w:rPr>
                    <m:t>ΔTC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9"/>
                      <w:szCs w:val="19"/>
                    </w:rPr>
                    <m:t>Δ</m:t>
                  </m:r>
                  <m:r>
                    <w:rPr>
                      <w:rFonts w:ascii="Cambria Math" w:eastAsia="Times New Roman" w:hAnsi="Cambria Math" w:cs="Times New Roman"/>
                      <w:sz w:val="19"/>
                      <w:szCs w:val="19"/>
                    </w:rPr>
                    <m:t>Qnty</m:t>
                  </m:r>
                </m:den>
              </m:f>
            </m:oMath>
          </w:p>
        </w:tc>
        <w:tc>
          <w:tcPr>
            <w:tcW w:w="0" w:type="auto"/>
          </w:tcPr>
          <w:p w:rsidR="004D6E69" w:rsidRPr="0085478B" w:rsidRDefault="004D6E69" w:rsidP="0085478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</w:tcPr>
          <w:p w:rsidR="004D6E69" w:rsidRPr="0085478B" w:rsidRDefault="004D6E69" w:rsidP="0085478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</w:tbl>
    <w:p w:rsidR="00F13C65" w:rsidRDefault="00F13C65"/>
    <w:p w:rsidR="00FA20BD" w:rsidRDefault="00FA20BD"/>
    <w:p w:rsidR="00FA20BD" w:rsidRDefault="00FA20BD"/>
    <w:p w:rsidR="00FA20BD" w:rsidRDefault="00FA20BD">
      <w:bookmarkStart w:id="0" w:name="_GoBack"/>
      <w:r>
        <w:rPr>
          <w:noProof/>
        </w:rPr>
        <w:drawing>
          <wp:inline distT="0" distB="0" distL="0" distR="0" wp14:anchorId="7B3AAAD9" wp14:editId="1562DD2E">
            <wp:extent cx="5943600" cy="36150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A20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E0F"/>
    <w:multiLevelType w:val="multilevel"/>
    <w:tmpl w:val="A7D66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CA0666"/>
    <w:multiLevelType w:val="multilevel"/>
    <w:tmpl w:val="39E6A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83D22"/>
    <w:multiLevelType w:val="multilevel"/>
    <w:tmpl w:val="E8D85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3B6CD1"/>
    <w:multiLevelType w:val="multilevel"/>
    <w:tmpl w:val="DC94A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DA332B"/>
    <w:multiLevelType w:val="multilevel"/>
    <w:tmpl w:val="5BC28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274685"/>
    <w:multiLevelType w:val="multilevel"/>
    <w:tmpl w:val="35E84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0353A9"/>
    <w:multiLevelType w:val="multilevel"/>
    <w:tmpl w:val="7E4A5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B10B00"/>
    <w:multiLevelType w:val="multilevel"/>
    <w:tmpl w:val="3F18F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025697"/>
    <w:multiLevelType w:val="multilevel"/>
    <w:tmpl w:val="4948A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92F5F"/>
    <w:multiLevelType w:val="multilevel"/>
    <w:tmpl w:val="01B86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2972E8"/>
    <w:multiLevelType w:val="multilevel"/>
    <w:tmpl w:val="17B25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651829"/>
    <w:multiLevelType w:val="multilevel"/>
    <w:tmpl w:val="1D106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B00FC7"/>
    <w:multiLevelType w:val="multilevel"/>
    <w:tmpl w:val="0A62A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8"/>
  </w:num>
  <w:num w:numId="4">
    <w:abstractNumId w:val="3"/>
  </w:num>
  <w:num w:numId="5">
    <w:abstractNumId w:val="4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10"/>
  </w:num>
  <w:num w:numId="11">
    <w:abstractNumId w:val="5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8B"/>
    <w:rsid w:val="00020E0A"/>
    <w:rsid w:val="0003139F"/>
    <w:rsid w:val="000D43A5"/>
    <w:rsid w:val="002368D5"/>
    <w:rsid w:val="00247A2A"/>
    <w:rsid w:val="00273434"/>
    <w:rsid w:val="00293729"/>
    <w:rsid w:val="00296CDB"/>
    <w:rsid w:val="002A331B"/>
    <w:rsid w:val="00335351"/>
    <w:rsid w:val="004658F9"/>
    <w:rsid w:val="004D6E69"/>
    <w:rsid w:val="004E0D4D"/>
    <w:rsid w:val="004F288A"/>
    <w:rsid w:val="00587F45"/>
    <w:rsid w:val="005F164C"/>
    <w:rsid w:val="007D01F8"/>
    <w:rsid w:val="0085478B"/>
    <w:rsid w:val="00895ACA"/>
    <w:rsid w:val="00896523"/>
    <w:rsid w:val="00953725"/>
    <w:rsid w:val="009B25A1"/>
    <w:rsid w:val="00A06A72"/>
    <w:rsid w:val="00D40A23"/>
    <w:rsid w:val="00D53D77"/>
    <w:rsid w:val="00DC4AE8"/>
    <w:rsid w:val="00E05643"/>
    <w:rsid w:val="00F13C65"/>
    <w:rsid w:val="00F649EA"/>
    <w:rsid w:val="00FA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47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478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5478B"/>
    <w:rPr>
      <w:b/>
      <w:bCs/>
    </w:rPr>
  </w:style>
  <w:style w:type="paragraph" w:customStyle="1" w:styleId="taskbuttondiv">
    <w:name w:val="taskbuttondiv"/>
    <w:basedOn w:val="Normal"/>
    <w:rsid w:val="00854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54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5478B"/>
  </w:style>
  <w:style w:type="paragraph" w:styleId="BalloonText">
    <w:name w:val="Balloon Text"/>
    <w:basedOn w:val="Normal"/>
    <w:link w:val="BalloonTextChar"/>
    <w:uiPriority w:val="99"/>
    <w:semiHidden/>
    <w:unhideWhenUsed/>
    <w:rsid w:val="0089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ACA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95AC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95AC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95AC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95ACA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D6E6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47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478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5478B"/>
    <w:rPr>
      <w:b/>
      <w:bCs/>
    </w:rPr>
  </w:style>
  <w:style w:type="paragraph" w:customStyle="1" w:styleId="taskbuttondiv">
    <w:name w:val="taskbuttondiv"/>
    <w:basedOn w:val="Normal"/>
    <w:rsid w:val="00854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54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5478B"/>
  </w:style>
  <w:style w:type="paragraph" w:styleId="BalloonText">
    <w:name w:val="Balloon Text"/>
    <w:basedOn w:val="Normal"/>
    <w:link w:val="BalloonTextChar"/>
    <w:uiPriority w:val="99"/>
    <w:semiHidden/>
    <w:unhideWhenUsed/>
    <w:rsid w:val="0089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ACA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95AC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95AC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95AC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95ACA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D6E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6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55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862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982610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992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0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423170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7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723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3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669936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76979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8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111276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8219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907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9322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1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96956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729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5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3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30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82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51833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78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8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30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32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27127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625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00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7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8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98270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9557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12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9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4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7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59770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34578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79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26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93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2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42597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8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56008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6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37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207490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0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3378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3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59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4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6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control" Target="activeX/activeX8.xml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control" Target="activeX/activeX21.xml"/><Relationship Id="rId50" Type="http://schemas.openxmlformats.org/officeDocument/2006/relationships/image" Target="media/image23.wmf"/><Relationship Id="rId55" Type="http://schemas.openxmlformats.org/officeDocument/2006/relationships/control" Target="activeX/activeX25.xml"/><Relationship Id="rId63" Type="http://schemas.openxmlformats.org/officeDocument/2006/relationships/control" Target="activeX/activeX29.xml"/><Relationship Id="rId68" Type="http://schemas.openxmlformats.org/officeDocument/2006/relationships/control" Target="activeX/activeX32.xml"/><Relationship Id="rId76" Type="http://schemas.openxmlformats.org/officeDocument/2006/relationships/control" Target="activeX/activeX38.xml"/><Relationship Id="rId84" Type="http://schemas.openxmlformats.org/officeDocument/2006/relationships/control" Target="activeX/activeX46.xml"/><Relationship Id="rId89" Type="http://schemas.openxmlformats.org/officeDocument/2006/relationships/control" Target="activeX/activeX51.xml"/><Relationship Id="rId97" Type="http://schemas.openxmlformats.org/officeDocument/2006/relationships/fontTable" Target="fontTable.xml"/><Relationship Id="rId7" Type="http://schemas.openxmlformats.org/officeDocument/2006/relationships/control" Target="activeX/activeX1.xml"/><Relationship Id="rId71" Type="http://schemas.openxmlformats.org/officeDocument/2006/relationships/image" Target="media/image6.jpeg"/><Relationship Id="rId92" Type="http://schemas.openxmlformats.org/officeDocument/2006/relationships/control" Target="activeX/activeX54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control" Target="activeX/activeX12.xml"/><Relationship Id="rId11" Type="http://schemas.openxmlformats.org/officeDocument/2006/relationships/control" Target="activeX/activeX3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control" Target="activeX/activeX16.xml"/><Relationship Id="rId40" Type="http://schemas.openxmlformats.org/officeDocument/2006/relationships/image" Target="media/image18.wmf"/><Relationship Id="rId45" Type="http://schemas.openxmlformats.org/officeDocument/2006/relationships/control" Target="activeX/activeX20.xml"/><Relationship Id="rId53" Type="http://schemas.openxmlformats.org/officeDocument/2006/relationships/control" Target="activeX/activeX24.xml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control" Target="activeX/activeX36.xml"/><Relationship Id="rId79" Type="http://schemas.openxmlformats.org/officeDocument/2006/relationships/control" Target="activeX/activeX41.xml"/><Relationship Id="rId87" Type="http://schemas.openxmlformats.org/officeDocument/2006/relationships/control" Target="activeX/activeX49.xml"/><Relationship Id="rId5" Type="http://schemas.openxmlformats.org/officeDocument/2006/relationships/webSettings" Target="webSettings.xml"/><Relationship Id="rId61" Type="http://schemas.openxmlformats.org/officeDocument/2006/relationships/control" Target="activeX/activeX28.xml"/><Relationship Id="rId82" Type="http://schemas.openxmlformats.org/officeDocument/2006/relationships/control" Target="activeX/activeX44.xml"/><Relationship Id="rId90" Type="http://schemas.openxmlformats.org/officeDocument/2006/relationships/control" Target="activeX/activeX52.xml"/><Relationship Id="rId95" Type="http://schemas.openxmlformats.org/officeDocument/2006/relationships/control" Target="activeX/activeX57.xml"/><Relationship Id="rId19" Type="http://schemas.openxmlformats.org/officeDocument/2006/relationships/control" Target="activeX/activeX7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1.xml"/><Relationship Id="rId30" Type="http://schemas.openxmlformats.org/officeDocument/2006/relationships/image" Target="media/image13.wmf"/><Relationship Id="rId35" Type="http://schemas.openxmlformats.org/officeDocument/2006/relationships/control" Target="activeX/activeX15.xml"/><Relationship Id="rId43" Type="http://schemas.openxmlformats.org/officeDocument/2006/relationships/control" Target="activeX/activeX19.xml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control" Target="activeX/activeX33.xml"/><Relationship Id="rId77" Type="http://schemas.openxmlformats.org/officeDocument/2006/relationships/control" Target="activeX/activeX39.xml"/><Relationship Id="rId8" Type="http://schemas.openxmlformats.org/officeDocument/2006/relationships/image" Target="media/image2.wmf"/><Relationship Id="rId51" Type="http://schemas.openxmlformats.org/officeDocument/2006/relationships/control" Target="activeX/activeX23.xml"/><Relationship Id="rId72" Type="http://schemas.openxmlformats.org/officeDocument/2006/relationships/control" Target="activeX/activeX34.xml"/><Relationship Id="rId80" Type="http://schemas.openxmlformats.org/officeDocument/2006/relationships/control" Target="activeX/activeX42.xml"/><Relationship Id="rId85" Type="http://schemas.openxmlformats.org/officeDocument/2006/relationships/control" Target="activeX/activeX47.xml"/><Relationship Id="rId93" Type="http://schemas.openxmlformats.org/officeDocument/2006/relationships/control" Target="activeX/activeX55.xml"/><Relationship Id="rId98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control" Target="activeX/activeX27.xml"/><Relationship Id="rId67" Type="http://schemas.openxmlformats.org/officeDocument/2006/relationships/control" Target="activeX/activeX31.xml"/><Relationship Id="rId20" Type="http://schemas.openxmlformats.org/officeDocument/2006/relationships/image" Target="media/image8.wmf"/><Relationship Id="rId41" Type="http://schemas.openxmlformats.org/officeDocument/2006/relationships/control" Target="activeX/activeX18.xml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2.jpeg"/><Relationship Id="rId75" Type="http://schemas.openxmlformats.org/officeDocument/2006/relationships/control" Target="activeX/activeX37.xml"/><Relationship Id="rId83" Type="http://schemas.openxmlformats.org/officeDocument/2006/relationships/control" Target="activeX/activeX45.xml"/><Relationship Id="rId88" Type="http://schemas.openxmlformats.org/officeDocument/2006/relationships/control" Target="activeX/activeX50.xml"/><Relationship Id="rId91" Type="http://schemas.openxmlformats.org/officeDocument/2006/relationships/control" Target="activeX/activeX53.xml"/><Relationship Id="rId96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control" Target="activeX/activeX22.xml"/><Relationship Id="rId57" Type="http://schemas.openxmlformats.org/officeDocument/2006/relationships/control" Target="activeX/activeX26.xml"/><Relationship Id="rId10" Type="http://schemas.openxmlformats.org/officeDocument/2006/relationships/image" Target="media/image3.wmf"/><Relationship Id="rId31" Type="http://schemas.openxmlformats.org/officeDocument/2006/relationships/control" Target="activeX/activeX13.xml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control" Target="activeX/activeX30.xml"/><Relationship Id="rId73" Type="http://schemas.openxmlformats.org/officeDocument/2006/relationships/control" Target="activeX/activeX35.xml"/><Relationship Id="rId78" Type="http://schemas.openxmlformats.org/officeDocument/2006/relationships/control" Target="activeX/activeX40.xml"/><Relationship Id="rId81" Type="http://schemas.openxmlformats.org/officeDocument/2006/relationships/control" Target="activeX/activeX43.xml"/><Relationship Id="rId86" Type="http://schemas.openxmlformats.org/officeDocument/2006/relationships/control" Target="activeX/activeX48.xml"/><Relationship Id="rId94" Type="http://schemas.openxmlformats.org/officeDocument/2006/relationships/control" Target="activeX/activeX56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39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2018-10-21T06:26:00Z</dcterms:created>
  <dcterms:modified xsi:type="dcterms:W3CDTF">2018-10-21T19:44:00Z</dcterms:modified>
</cp:coreProperties>
</file>